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32</w:t>
      </w:r>
    </w:p>
    <w:p>
      <w:r>
        <w:t>Bundesgericht (BGE), 2003-10-10, FR</w:t>
      </w:r>
    </w:p>
    <w:p>
      <w:r>
        <w:rPr>
          <w:b/>
        </w:rPr>
        <w:t xml:space="preserve">Quelle: </w:t>
      </w:r>
      <w:r>
        <w:t>https://mcp.opencaselaw.ch/entscheid/bge_131 IV 32</w:t>
      </w:r>
    </w:p>
    <w:p>
      <w:r>
        <w:t>FR: ATF 131 IV 32</w:t>
      </w:r>
    </w:p>
    <w:p>
      <w:r>
        <w:t>IT: DTF 131 IV 32</w:t>
      </w:r>
    </w:p>
    <w:p>
      <w:pPr>
        <w:pStyle w:val="Heading2"/>
      </w:pPr>
      <w:r>
        <w:t>Regeste</w:t>
      </w:r>
    </w:p>
    <w:p>
      <w:r>
        <w:t>Regeste Art. 292 StGB; Ungehorsam gegen amtliche Verfügungen. Die mit einer Strafdrohung versehene Anordnung des Betreibungsamtes gegenüber einem Dritten, dem das Amt die Verwaltung eines Grundstücks übertragen hat, ist keine Verfügung im Sinne von Art. 292 StGB, und diese Bestimmung ist daher insoweit nicht anwendbar (E. 3).</w:t>
      </w:r>
    </w:p>
    <w:p>
      <w:pPr>
        <w:pStyle w:val="Heading2"/>
      </w:pPr>
      <w:r>
        <w:t>Erwägungen</w:t>
      </w:r>
    </w:p>
    <w:p>
      <w:r>
        <w:rPr>
          <w:b/>
        </w:rPr>
        <w:t>E. 3</w:t>
      </w:r>
    </w:p>
    <w:p>
      <w:r>
        <w:t>L'application de l' art. 292 CP suppose notamment que l'auteur ne se soit "pas conformé à une décision à lui signifiée". La définition de la décision au sens de l' art. 292 CP est la même que celle qui a été développée en droit administratif (RIEDO, Basler Kommentar II, n. 36 ad art. 292). Il doit donc s'agir d'une décision concrète de l'autorité, prise dans un cas particulier et à l'égard d'une personne déterminée et qui a pour objet de régler une situation BGE 131 IV 32 S. 34 juridique de manière contraignante (voir RIEDO, op. cit., n. 37; HÄFELIN/ MÜLLER, Allgemeines Verwaltungsrecht, 4 e éd., p. 178 n. 854). La décision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(MOOR, Droit administratif II, 2 e éd., n. 2.1.2.3, p. 164). Deux critères permettent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 que la définition du cahier des charges ou des instructions relatives à la manière de trancher une affaire, est un acte interne juridique (voir ATF 121 II 473 , p. 478 s.; MOOR, op. cit., loc. cit.; HÄFELIN/MÜLLER, op. cit., p. 181 n. 867 et les références citées). Lorsque la commination n'est pas une décision, telle qu'elle vient d'être définie, mais un acte interne, ce sont les mesures disciplinaires ou autres moyens de contrainte ressortissant aux règles régissant les rapports internes qui s'appliquent ( ATF 124 III 170 consid. 6, p. 175 et l'arrêt cité; RIEDO, op. cit., n. 46 ad art. 292 CP ; CORBOZ, Les infractions en droit suisse, volume II, Berne 2002, n. 4 ad art. 292 CP ; PETER STALDER, Ungehorsam gegen amtliche Verfügungen, thèse Zurich 1990, p. 75; WALTER EIGENMANN, Die Androhung von Ungehorsamsstrafen durch den Richter, thèse Zurich 1964, p. 18; SCHWANDER, Von den Ungehorsamsdelikten, ZSGV 1950 p. 417). Peut demeurer ouverte la question de savoir si les sanctions prévues par l' art. 292 CP peuvent être appliquées s'agissant d'un acte adressé par une collectivité publique à une autre collectivité publique (cf. HEINRICH ANDREAS MÜLLER, Der Verwaltungszwang, thèse Zurich 1975, p. 141 s.). En l'espèce, la commination adressée au recourant avait pour objet la fourniture de renseignements et de pièces comptables relatifs à BGE 131 IV 32 S. 35 des travaux de gérance qu'il effectuait sur la base d'un contrat de gérance légale qui lui avait été confié par l'office des poursuites et faillites. Le contenu d'un tel mandat est déterminé de manière précise et détaillée par les dispositions sur la gérance (art. 17 et 18 de l'ordonnance du Tribunal fédéral du 23 avril 1920 sur la réalisation forcée des immeubles [ORFI; RS 281.42]), qui prévoient notamment que celle-ci comprend la commande et le paiement de petites réparations, le renouvellement des assurances usuelles, la résiliation des baux, la rentrée des loyers au besoin par voie de poursuites, de sorte que l'on se trouve dans un domaine qui fait l'objet d'une réglementation détaillée de droit public. Ainsi, le tiers chargé de la gérance légale doit être considéré comme un auxiliaire de l'office, dont le mandat est régi pour l'essentiel par le droit fédéral de la poursuite ( ATF 129 III 400 consid. 1.2 et 1.3). Par ailleurs, on peut encore noter qu'il doit être considéré également comme un auxiliaire susceptible d'engager la responsabilité du canton en vertu de l' art. 5 al. 1 LP (AMONN/WALTHER, Grundriss des Schuldbetreibungs- und Konkursrechts, 7 e éd., Berne 2003, § 5 n. 11). Dans ces circonstances, il y a lieu d'admettre que la commination litigieuse avait trait à l'exécution de tâches administratives et constituait ainsi un acte interne et non une décision au sens de l' art. 292 CP , qui ne peut donc trouver application, l'un des éléments constitutifs de cette disposition n'étant pas réalisé. Il faut encore noter que l'exclusion de la possibilité de réprimer en application de l' art. 292 CP un comportement comme celui du recourant n'a pas pour conséquence de lui assurer l'impunité. En effet, ainsi que cela a été relevé, un tel comportement dans le cadre de relations internes est à sanctionner par la mise en oeuvre de règles disciplinaires. En matière de poursuite pour dettes et faillite, celles-ci sont régies par l' art. 14 al. 2 LP . Le critère déterminant pour la soumission au droit disciplinaire étant l'accomplissement de tâches de droit public attribuées par le droit fédéral de l'exécution forcée à des autorités ou organes que les cantons doivent instituer et organiser (GILLIÉRON, Commentaire de la loi fédérale sur la poursuite pour dettes et la faillite, n. 24 ad art. 14 LP ), cette disposition est applicable au recourant, qui a agi en tant qu'auxiliaire de l'office des poursuites et faillites. Dès lors que la condamnation du recourant en application de l' art. 292 CP procède d'une violation du droit fédéral, le pourvoi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